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13000"/>
    <w:p w14:paraId="2A811E3A">
      <w:pPr>
        <w:rPr>
          <w:rFonts w:hint="eastAsia"/>
          <w:lang w:val="en-US" w:eastAsia="zh-CN"/>
        </w:rPr>
      </w:pPr>
      <w:r>
        <w:rPr>
          <w:rFonts w:hint="eastAsia"/>
          <w:lang w:val="en-US" w:eastAsia="zh-CN"/>
        </w:rPr>
        <w:t>Future Fuels MENA Summit 2026</w:t>
      </w:r>
    </w:p>
    <w:p w14:paraId="6CF78E18">
      <w:pPr>
        <w:rPr>
          <w:rFonts w:hint="eastAsia"/>
          <w:lang w:val="en-US" w:eastAsia="zh-CN"/>
        </w:rPr>
      </w:pPr>
      <w:r>
        <w:rPr>
          <w:rFonts w:hint="eastAsia"/>
          <w:lang w:val="en-US" w:eastAsia="zh-CN"/>
        </w:rPr>
        <w:t>#FFMS2026</w:t>
      </w:r>
    </w:p>
    <w:p w14:paraId="4AD2A809">
      <w:pPr>
        <w:rPr>
          <w:rFonts w:hint="eastAsia"/>
          <w:lang w:val="en-US" w:eastAsia="zh-CN"/>
        </w:rPr>
      </w:pPr>
    </w:p>
    <w:p w14:paraId="5B362DAC">
      <w:pPr>
        <w:rPr>
          <w:rFonts w:hint="eastAsia"/>
          <w:lang w:val="en-US" w:eastAsia="zh-CN"/>
        </w:rPr>
      </w:pPr>
      <w:r>
        <w:rPr>
          <w:rFonts w:hint="eastAsia"/>
          <w:lang w:val="en-US" w:eastAsia="zh-CN"/>
        </w:rPr>
        <w:t>1-2 April 2026 | Dubai, UAE</w:t>
      </w:r>
    </w:p>
    <w:p w14:paraId="30A41AF4">
      <w:pPr>
        <w:rPr>
          <w:rFonts w:hint="eastAsia"/>
          <w:lang w:val="en-US" w:eastAsia="zh-CN"/>
        </w:rPr>
      </w:pPr>
    </w:p>
    <w:p w14:paraId="42B134C7">
      <w:pPr>
        <w:rPr>
          <w:rFonts w:hint="default"/>
          <w:lang w:val="en-US" w:eastAsia="zh-CN"/>
        </w:rPr>
      </w:pPr>
      <w:r>
        <w:rPr>
          <w:rFonts w:hint="default"/>
          <w:lang w:val="en-US" w:eastAsia="zh-CN"/>
        </w:rPr>
        <w:t>From MENA to the World: Leading the Global Transition to the Future of Fuels</w:t>
      </w:r>
    </w:p>
    <w:p w14:paraId="2A703952">
      <w:pPr>
        <w:rPr>
          <w:rFonts w:hint="default"/>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2130"/>
        <w:gridCol w:w="2131"/>
        <w:gridCol w:w="2131"/>
      </w:tblGrid>
      <w:tr w14:paraId="2ADA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14:paraId="4F05992A">
            <w:pPr>
              <w:jc w:val="center"/>
              <w:rPr>
                <w:rFonts w:hint="default"/>
                <w:vertAlign w:val="baseline"/>
                <w:lang w:val="en-US" w:eastAsia="zh-CN"/>
              </w:rPr>
            </w:pPr>
            <w:r>
              <w:rPr>
                <w:rFonts w:hint="eastAsia"/>
                <w:vertAlign w:val="baseline"/>
                <w:lang w:val="en-US" w:eastAsia="zh-CN"/>
              </w:rPr>
              <w:t>3000+</w:t>
            </w:r>
          </w:p>
        </w:tc>
        <w:tc>
          <w:tcPr>
            <w:tcW w:w="2130" w:type="dxa"/>
            <w:vAlign w:val="center"/>
          </w:tcPr>
          <w:p w14:paraId="206B9FE5">
            <w:pPr>
              <w:jc w:val="center"/>
              <w:rPr>
                <w:rFonts w:hint="default"/>
                <w:vertAlign w:val="baseline"/>
                <w:lang w:val="en-US" w:eastAsia="zh-CN"/>
              </w:rPr>
            </w:pPr>
            <w:r>
              <w:rPr>
                <w:rFonts w:hint="eastAsia"/>
                <w:vertAlign w:val="baseline"/>
                <w:lang w:val="en-US" w:eastAsia="zh-CN"/>
              </w:rPr>
              <w:t>200+</w:t>
            </w:r>
          </w:p>
        </w:tc>
        <w:tc>
          <w:tcPr>
            <w:tcW w:w="2131" w:type="dxa"/>
            <w:vAlign w:val="center"/>
          </w:tcPr>
          <w:p w14:paraId="0F535A48">
            <w:pPr>
              <w:jc w:val="center"/>
              <w:rPr>
                <w:rFonts w:hint="default"/>
                <w:vertAlign w:val="baseline"/>
                <w:lang w:val="en-US" w:eastAsia="zh-CN"/>
              </w:rPr>
            </w:pPr>
            <w:r>
              <w:rPr>
                <w:rFonts w:hint="eastAsia"/>
                <w:vertAlign w:val="baseline"/>
                <w:lang w:val="en-US" w:eastAsia="zh-CN"/>
              </w:rPr>
              <w:t>100+</w:t>
            </w:r>
          </w:p>
        </w:tc>
        <w:tc>
          <w:tcPr>
            <w:tcW w:w="2131" w:type="dxa"/>
            <w:vAlign w:val="center"/>
          </w:tcPr>
          <w:p w14:paraId="6C0D3EFA">
            <w:pPr>
              <w:jc w:val="center"/>
              <w:rPr>
                <w:rFonts w:hint="default"/>
                <w:vertAlign w:val="baseline"/>
                <w:lang w:val="en-US" w:eastAsia="zh-CN"/>
              </w:rPr>
            </w:pPr>
            <w:r>
              <w:rPr>
                <w:rFonts w:hint="eastAsia"/>
                <w:vertAlign w:val="baseline"/>
                <w:lang w:val="en-US" w:eastAsia="zh-CN"/>
              </w:rPr>
              <w:t>50+</w:t>
            </w:r>
          </w:p>
        </w:tc>
      </w:tr>
      <w:tr w14:paraId="5654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center"/>
          </w:tcPr>
          <w:p w14:paraId="3CC48905">
            <w:pPr>
              <w:jc w:val="center"/>
              <w:rPr>
                <w:rFonts w:hint="default"/>
                <w:vertAlign w:val="baseline"/>
                <w:lang w:val="en-US" w:eastAsia="zh-CN"/>
              </w:rPr>
            </w:pPr>
            <w:r>
              <w:rPr>
                <w:rFonts w:hint="eastAsia"/>
                <w:vertAlign w:val="baseline"/>
                <w:lang w:val="en-US" w:eastAsia="zh-CN"/>
              </w:rPr>
              <w:t>Attendees</w:t>
            </w:r>
          </w:p>
        </w:tc>
        <w:tc>
          <w:tcPr>
            <w:tcW w:w="2130" w:type="dxa"/>
            <w:vAlign w:val="center"/>
          </w:tcPr>
          <w:p w14:paraId="73161B42">
            <w:pPr>
              <w:jc w:val="center"/>
              <w:rPr>
                <w:rFonts w:hint="default"/>
                <w:vertAlign w:val="baseline"/>
                <w:lang w:val="en-US" w:eastAsia="zh-CN"/>
              </w:rPr>
            </w:pPr>
            <w:r>
              <w:rPr>
                <w:rFonts w:hint="eastAsia"/>
                <w:vertAlign w:val="baseline"/>
                <w:lang w:val="en-US" w:eastAsia="zh-CN"/>
              </w:rPr>
              <w:t>World-class Speakers</w:t>
            </w:r>
          </w:p>
        </w:tc>
        <w:tc>
          <w:tcPr>
            <w:tcW w:w="2131" w:type="dxa"/>
            <w:vAlign w:val="center"/>
          </w:tcPr>
          <w:p w14:paraId="775295E7">
            <w:pPr>
              <w:jc w:val="center"/>
              <w:rPr>
                <w:rFonts w:hint="default"/>
                <w:vertAlign w:val="baseline"/>
                <w:lang w:val="en-US" w:eastAsia="zh-CN"/>
              </w:rPr>
            </w:pPr>
            <w:r>
              <w:rPr>
                <w:rFonts w:hint="eastAsia"/>
                <w:vertAlign w:val="baseline"/>
                <w:lang w:val="en-US" w:eastAsia="zh-CN"/>
              </w:rPr>
              <w:t>Sponsors + Exhibitors</w:t>
            </w:r>
          </w:p>
        </w:tc>
        <w:tc>
          <w:tcPr>
            <w:tcW w:w="2131" w:type="dxa"/>
            <w:vAlign w:val="center"/>
          </w:tcPr>
          <w:p w14:paraId="0516F54F">
            <w:pPr>
              <w:jc w:val="center"/>
              <w:rPr>
                <w:rFonts w:hint="default"/>
                <w:vertAlign w:val="baseline"/>
                <w:lang w:val="en-US" w:eastAsia="zh-CN"/>
              </w:rPr>
            </w:pPr>
            <w:r>
              <w:rPr>
                <w:rFonts w:hint="eastAsia"/>
                <w:vertAlign w:val="baseline"/>
                <w:lang w:val="en-US" w:eastAsia="zh-CN"/>
              </w:rPr>
              <w:t>Countries &amp; Regions</w:t>
            </w:r>
          </w:p>
        </w:tc>
      </w:tr>
    </w:tbl>
    <w:p w14:paraId="7CE22E29">
      <w:pPr>
        <w:rPr>
          <w:rFonts w:hint="default"/>
          <w:lang w:val="en-US" w:eastAsia="zh-CN"/>
        </w:rPr>
      </w:pPr>
    </w:p>
    <w:p w14:paraId="0E9381D4">
      <w:pPr>
        <w:rPr>
          <w:rFonts w:hint="default" w:ascii="Calibri" w:hAnsi="Calibri" w:cs="Calibri"/>
          <w:sz w:val="22"/>
          <w:lang w:val="en-US" w:eastAsia="zh-CN"/>
        </w:rPr>
      </w:pPr>
      <w:r>
        <w:rPr>
          <w:rFonts w:hint="default" w:ascii="Calibri" w:hAnsi="Calibri" w:cs="Calibri"/>
          <w:b/>
          <w:bCs/>
          <w:sz w:val="22"/>
          <w:lang w:val="en-US" w:eastAsia="zh-CN"/>
        </w:rPr>
        <w:t>Date:</w:t>
      </w:r>
      <w:r>
        <w:rPr>
          <w:rFonts w:hint="default" w:ascii="Calibri" w:hAnsi="Calibri" w:cs="Calibri"/>
          <w:sz w:val="22"/>
          <w:lang w:val="en-US" w:eastAsia="zh-CN"/>
        </w:rPr>
        <w:t xml:space="preserve"> </w:t>
      </w:r>
      <w:r>
        <w:rPr>
          <w:rFonts w:hint="eastAsia" w:ascii="Calibri" w:hAnsi="Calibri" w:cs="Calibri"/>
          <w:sz w:val="22"/>
          <w:lang w:val="en-US" w:eastAsia="zh-CN"/>
        </w:rPr>
        <w:t>1</w:t>
      </w:r>
      <w:r>
        <w:rPr>
          <w:rFonts w:hint="default" w:ascii="Calibri" w:hAnsi="Calibri" w:cs="Calibri"/>
          <w:sz w:val="22"/>
          <w:lang w:val="en-US" w:eastAsia="zh-CN"/>
        </w:rPr>
        <w:t xml:space="preserve"> - </w:t>
      </w:r>
      <w:r>
        <w:rPr>
          <w:rFonts w:hint="eastAsia" w:ascii="Calibri" w:hAnsi="Calibri" w:cs="Calibri"/>
          <w:sz w:val="22"/>
          <w:lang w:val="en-US" w:eastAsia="zh-CN"/>
        </w:rPr>
        <w:t>2</w:t>
      </w:r>
      <w:r>
        <w:rPr>
          <w:rFonts w:hint="default" w:ascii="Calibri" w:hAnsi="Calibri" w:cs="Calibri"/>
          <w:sz w:val="22"/>
          <w:lang w:val="en-US" w:eastAsia="zh-CN"/>
        </w:rPr>
        <w:t xml:space="preserve"> </w:t>
      </w:r>
      <w:r>
        <w:rPr>
          <w:rFonts w:hint="eastAsia" w:ascii="Calibri" w:hAnsi="Calibri" w:cs="Calibri"/>
          <w:sz w:val="22"/>
          <w:lang w:val="en-US" w:eastAsia="zh-CN"/>
        </w:rPr>
        <w:t>April,</w:t>
      </w:r>
      <w:r>
        <w:rPr>
          <w:rFonts w:hint="default" w:ascii="Calibri" w:hAnsi="Calibri" w:cs="Calibri"/>
          <w:sz w:val="22"/>
          <w:lang w:val="en-US" w:eastAsia="zh-CN"/>
        </w:rPr>
        <w:t xml:space="preserve"> 202</w:t>
      </w:r>
      <w:r>
        <w:rPr>
          <w:rFonts w:hint="eastAsia" w:ascii="Calibri" w:hAnsi="Calibri" w:cs="Calibri"/>
          <w:sz w:val="22"/>
          <w:lang w:val="en-US" w:eastAsia="zh-CN"/>
        </w:rPr>
        <w:t>6</w:t>
      </w:r>
    </w:p>
    <w:p w14:paraId="7EF4295C">
      <w:pPr>
        <w:rPr>
          <w:rFonts w:hint="default" w:ascii="Calibri" w:hAnsi="Calibri" w:cs="Calibri"/>
          <w:sz w:val="22"/>
          <w:lang w:val="en-US" w:eastAsia="zh-CN"/>
        </w:rPr>
      </w:pPr>
      <w:r>
        <w:rPr>
          <w:rFonts w:hint="default" w:ascii="Calibri" w:hAnsi="Calibri" w:cs="Calibri"/>
          <w:b/>
          <w:bCs/>
          <w:sz w:val="22"/>
          <w:lang w:val="en-US" w:eastAsia="zh-CN"/>
        </w:rPr>
        <w:t>Event Venue:</w:t>
      </w:r>
      <w:r>
        <w:rPr>
          <w:rFonts w:hint="eastAsia" w:ascii="Calibri" w:hAnsi="Calibri" w:cs="Calibri"/>
          <w:b/>
          <w:bCs/>
          <w:sz w:val="22"/>
          <w:lang w:val="en-US" w:eastAsia="zh-CN"/>
        </w:rPr>
        <w:t xml:space="preserve"> </w:t>
      </w:r>
      <w:r>
        <w:rPr>
          <w:rFonts w:hint="default" w:ascii="Calibri" w:hAnsi="Calibri" w:cs="Calibri"/>
          <w:sz w:val="22"/>
          <w:lang w:val="en-US" w:eastAsia="zh-CN"/>
        </w:rPr>
        <w:t>Le Méridien Conference Centre, Dubai</w:t>
      </w:r>
      <w:r>
        <w:rPr>
          <w:rFonts w:hint="eastAsia" w:ascii="Calibri" w:hAnsi="Calibri" w:cs="Calibri"/>
          <w:sz w:val="22"/>
          <w:lang w:val="en-US" w:eastAsia="zh-CN"/>
        </w:rPr>
        <w:t>, UAE</w:t>
      </w:r>
    </w:p>
    <w:p w14:paraId="45F0CE4D">
      <w:pPr>
        <w:rPr>
          <w:rFonts w:hint="default" w:ascii="Calibri" w:hAnsi="Calibri" w:cs="Calibri"/>
          <w:b w:val="0"/>
          <w:bCs w:val="0"/>
          <w:sz w:val="22"/>
          <w:lang w:val="en-US" w:eastAsia="zh-CN"/>
        </w:rPr>
      </w:pPr>
      <w:r>
        <w:rPr>
          <w:rFonts w:hint="eastAsia" w:ascii="Calibri" w:hAnsi="Calibri" w:cs="Calibri"/>
          <w:b/>
          <w:bCs/>
          <w:sz w:val="22"/>
          <w:lang w:val="en-US" w:eastAsia="zh-CN"/>
        </w:rPr>
        <w:t xml:space="preserve">Event </w:t>
      </w:r>
      <w:r>
        <w:rPr>
          <w:rFonts w:hint="default" w:ascii="Calibri" w:hAnsi="Calibri" w:cs="Calibri"/>
          <w:b/>
          <w:bCs/>
          <w:sz w:val="22"/>
          <w:lang w:val="en-US" w:eastAsia="zh-CN"/>
        </w:rPr>
        <w:t xml:space="preserve">Website: </w:t>
      </w:r>
      <w:r>
        <w:rPr>
          <w:rFonts w:hint="default" w:ascii="Calibri" w:hAnsi="Calibri" w:cs="Calibri"/>
          <w:b w:val="0"/>
          <w:bCs w:val="0"/>
          <w:sz w:val="22"/>
          <w:lang w:val="en-US" w:eastAsia="zh-CN"/>
        </w:rPr>
        <w:fldChar w:fldCharType="begin"/>
      </w:r>
      <w:r>
        <w:rPr>
          <w:rFonts w:hint="default" w:ascii="Calibri" w:hAnsi="Calibri" w:cs="Calibri"/>
          <w:b w:val="0"/>
          <w:bCs w:val="0"/>
          <w:sz w:val="22"/>
          <w:lang w:val="en-US" w:eastAsia="zh-CN"/>
        </w:rPr>
        <w:instrText xml:space="preserve"> HYPERLINK "https://www.futurefuelsmena.com/" </w:instrText>
      </w:r>
      <w:r>
        <w:rPr>
          <w:rFonts w:hint="default" w:ascii="Calibri" w:hAnsi="Calibri" w:cs="Calibri"/>
          <w:b w:val="0"/>
          <w:bCs w:val="0"/>
          <w:sz w:val="22"/>
          <w:lang w:val="en-US" w:eastAsia="zh-CN"/>
        </w:rPr>
        <w:fldChar w:fldCharType="separate"/>
      </w:r>
      <w:r>
        <w:rPr>
          <w:rStyle w:val="8"/>
          <w:rFonts w:hint="default" w:ascii="Calibri" w:hAnsi="Calibri" w:cs="Calibri"/>
          <w:b w:val="0"/>
          <w:bCs w:val="0"/>
          <w:sz w:val="22"/>
          <w:lang w:val="en-US" w:eastAsia="zh-CN"/>
        </w:rPr>
        <w:t>https://www.futurefuelsmena.com/</w:t>
      </w:r>
      <w:r>
        <w:rPr>
          <w:rFonts w:hint="default" w:ascii="Calibri" w:hAnsi="Calibri" w:cs="Calibri"/>
          <w:b w:val="0"/>
          <w:bCs w:val="0"/>
          <w:sz w:val="22"/>
          <w:lang w:val="en-US" w:eastAsia="zh-CN"/>
        </w:rPr>
        <w:fldChar w:fldCharType="end"/>
      </w:r>
    </w:p>
    <w:p w14:paraId="27FE4851">
      <w:pPr>
        <w:rPr>
          <w:rFonts w:hint="eastAsia" w:ascii="Calibri" w:hAnsi="Calibri" w:cs="Calibri"/>
          <w:b w:val="0"/>
          <w:bCs w:val="0"/>
          <w:sz w:val="22"/>
          <w:lang w:val="en-US" w:eastAsia="zh-CN"/>
        </w:rPr>
      </w:pPr>
      <w:r>
        <w:rPr>
          <w:rFonts w:hint="default" w:ascii="Calibri" w:hAnsi="Calibri" w:cs="Calibri"/>
          <w:b/>
          <w:bCs/>
          <w:sz w:val="22"/>
          <w:lang w:val="en-US" w:eastAsia="zh-CN"/>
        </w:rPr>
        <w:t xml:space="preserve">Contact Us: </w:t>
      </w:r>
      <w:r>
        <w:rPr>
          <w:rFonts w:hint="eastAsia" w:ascii="Calibri" w:hAnsi="Calibri" w:cs="Calibri"/>
          <w:b w:val="0"/>
          <w:bCs w:val="0"/>
          <w:sz w:val="22"/>
          <w:lang w:val="en-US" w:eastAsia="zh-CN"/>
        </w:rPr>
        <w:fldChar w:fldCharType="begin"/>
      </w:r>
      <w:r>
        <w:rPr>
          <w:rFonts w:hint="eastAsia" w:ascii="Calibri" w:hAnsi="Calibri" w:cs="Calibri"/>
          <w:b w:val="0"/>
          <w:bCs w:val="0"/>
          <w:sz w:val="22"/>
          <w:lang w:val="en-US" w:eastAsia="zh-CN"/>
        </w:rPr>
        <w:instrText xml:space="preserve"> HYPERLINK "mailto:marketing@leader-associates.com" </w:instrText>
      </w:r>
      <w:r>
        <w:rPr>
          <w:rFonts w:hint="eastAsia" w:ascii="Calibri" w:hAnsi="Calibri" w:cs="Calibri"/>
          <w:b w:val="0"/>
          <w:bCs w:val="0"/>
          <w:sz w:val="22"/>
          <w:lang w:val="en-US" w:eastAsia="zh-CN"/>
        </w:rPr>
        <w:fldChar w:fldCharType="separate"/>
      </w:r>
      <w:r>
        <w:rPr>
          <w:rStyle w:val="8"/>
          <w:rFonts w:hint="eastAsia" w:ascii="Calibri" w:hAnsi="Calibri" w:cs="Calibri"/>
          <w:b w:val="0"/>
          <w:bCs w:val="0"/>
          <w:sz w:val="22"/>
          <w:lang w:val="en-US" w:eastAsia="zh-CN"/>
        </w:rPr>
        <w:t>ruby@leader-associates.com</w:t>
      </w:r>
      <w:r>
        <w:rPr>
          <w:rFonts w:hint="eastAsia" w:ascii="Calibri" w:hAnsi="Calibri" w:cs="Calibri"/>
          <w:b w:val="0"/>
          <w:bCs w:val="0"/>
          <w:sz w:val="22"/>
          <w:lang w:val="en-US" w:eastAsia="zh-CN"/>
        </w:rPr>
        <w:fldChar w:fldCharType="end"/>
      </w:r>
    </w:p>
    <w:p w14:paraId="206E0F5D">
      <w:pPr>
        <w:rPr>
          <w:rFonts w:hint="default"/>
          <w:lang w:val="en-US" w:eastAsia="zh-CN"/>
        </w:rPr>
      </w:pPr>
    </w:p>
    <w:p w14:paraId="594C0057">
      <w:pPr>
        <w:rPr>
          <w:rFonts w:hint="eastAsia" w:ascii="Calibri" w:hAnsi="Calibri" w:cs="Calibri"/>
          <w:b/>
          <w:bCs/>
          <w:sz w:val="24"/>
          <w:szCs w:val="28"/>
          <w:lang w:val="en-US" w:eastAsia="zh-CN"/>
        </w:rPr>
      </w:pPr>
      <w:r>
        <w:rPr>
          <w:rFonts w:hint="eastAsia" w:ascii="Calibri" w:hAnsi="Calibri" w:cs="Calibri"/>
          <w:b/>
          <w:bCs/>
          <w:sz w:val="24"/>
          <w:szCs w:val="28"/>
          <w:lang w:val="en-US" w:eastAsia="zh-CN"/>
        </w:rPr>
        <w:t>Event Overview:</w:t>
      </w:r>
    </w:p>
    <w:p w14:paraId="73361639">
      <w:pPr>
        <w:rPr>
          <w:rFonts w:hint="eastAsia"/>
          <w:lang w:val="en-US" w:eastAsia="zh-CN"/>
        </w:rPr>
      </w:pPr>
      <w:r>
        <w:rPr>
          <w:rFonts w:hint="eastAsia"/>
          <w:lang w:val="en-US" w:eastAsia="zh-CN"/>
        </w:rPr>
        <w:t>As the global energy landscape undergoes a profound low-carbon transition, buyer demand is shaping the evolution of future fuels, particularly within the aviation, transportation, industrial, and energy sectors. While hydrogen remains a cornerstone of the transition, market priorities are shifting toward a more integrated fuel ecosystem—one that includes sustainable aviation fuel, low-carbon pathways for conventional fuels, and hydrogen-derived carriers such as ammonia and methanol. MENA, with its abundant resources, strategic position, and unwavering government support, is once again uniquely positioned to lead the global transition to future fuels.</w:t>
      </w:r>
    </w:p>
    <w:p w14:paraId="27181E0A">
      <w:pPr>
        <w:rPr>
          <w:rFonts w:hint="default"/>
          <w:lang w:val="en-US" w:eastAsia="zh-CN"/>
        </w:rPr>
      </w:pPr>
    </w:p>
    <w:p w14:paraId="61D1186D">
      <w:pPr>
        <w:rPr>
          <w:rFonts w:hint="default"/>
          <w:lang w:val="en-US" w:eastAsia="zh-CN"/>
        </w:rPr>
      </w:pPr>
      <w:r>
        <w:rPr>
          <w:rFonts w:hint="default"/>
          <w:b/>
          <w:bCs/>
          <w:lang w:val="en-US" w:eastAsia="zh-CN"/>
        </w:rPr>
        <w:t>Future Fuels MENA Summit 2026 (FFMS2026)</w:t>
      </w:r>
      <w:r>
        <w:rPr>
          <w:rFonts w:hint="default"/>
          <w:lang w:val="en-US" w:eastAsia="zh-CN"/>
        </w:rPr>
        <w:t xml:space="preserve">, building on the success of </w:t>
      </w:r>
      <w:r>
        <w:rPr>
          <w:rFonts w:hint="default"/>
          <w:b/>
          <w:bCs/>
          <w:lang w:val="en-US" w:eastAsia="zh-CN"/>
        </w:rPr>
        <w:t>Connecting Hydrogen MENA</w:t>
      </w:r>
      <w:r>
        <w:rPr>
          <w:rFonts w:hint="default"/>
          <w:lang w:val="en-US" w:eastAsia="zh-CN"/>
        </w:rPr>
        <w:t xml:space="preserve">, is the region’s leading event dedicated to advance </w:t>
      </w:r>
      <w:r>
        <w:rPr>
          <w:rFonts w:hint="default"/>
          <w:b/>
          <w:bCs/>
          <w:lang w:val="en-US" w:eastAsia="zh-CN"/>
        </w:rPr>
        <w:t>SAF, hydrogen</w:t>
      </w:r>
      <w:r>
        <w:rPr>
          <w:rFonts w:hint="default"/>
          <w:lang w:val="en-US" w:eastAsia="zh-CN"/>
        </w:rPr>
        <w:t xml:space="preserve">, and </w:t>
      </w:r>
      <w:r>
        <w:rPr>
          <w:rFonts w:hint="default"/>
          <w:b/>
          <w:bCs/>
          <w:lang w:val="en-US" w:eastAsia="zh-CN"/>
        </w:rPr>
        <w:t>derivatives</w:t>
      </w:r>
      <w:r>
        <w:rPr>
          <w:rFonts w:hint="default"/>
          <w:lang w:val="en-US" w:eastAsia="zh-CN"/>
        </w:rPr>
        <w:t xml:space="preserve"> adoption. Joining </w:t>
      </w:r>
      <w:r>
        <w:rPr>
          <w:rFonts w:hint="default"/>
          <w:b/>
          <w:bCs/>
          <w:lang w:val="en-US" w:eastAsia="zh-CN"/>
        </w:rPr>
        <w:t>3000+</w:t>
      </w:r>
      <w:r>
        <w:rPr>
          <w:rFonts w:hint="default"/>
          <w:lang w:val="en-US" w:eastAsia="zh-CN"/>
        </w:rPr>
        <w:t xml:space="preserve"> industry decision-makers from over 50 countries, including </w:t>
      </w:r>
      <w:r>
        <w:rPr>
          <w:rFonts w:hint="default"/>
          <w:b/>
          <w:bCs/>
          <w:lang w:val="en-US" w:eastAsia="zh-CN"/>
        </w:rPr>
        <w:t>policymakers, fuel providers, distributors, end-users, and project investors</w:t>
      </w:r>
      <w:r>
        <w:rPr>
          <w:rFonts w:hint="default"/>
          <w:lang w:val="en-US" w:eastAsia="zh-CN"/>
        </w:rPr>
        <w:t>, the summit will focus on scaling the production and deployment of future fuels across MENA and global markets. It will also explore how technological innovation and business partnerships can create synergies across the diverse fuel ecosystem, driving the industry’s shift toward a sustainable, low-carbon future.</w:t>
      </w:r>
    </w:p>
    <w:p w14:paraId="020335A1">
      <w:pPr>
        <w:rPr>
          <w:rFonts w:hint="default"/>
          <w:lang w:val="en-US" w:eastAsia="zh-CN"/>
        </w:rPr>
      </w:pPr>
    </w:p>
    <w:p w14:paraId="6E8AC9A6">
      <w:pPr>
        <w:rPr>
          <w:rFonts w:hint="eastAsia"/>
          <w:b/>
          <w:bCs/>
          <w:i w:val="0"/>
          <w:iCs w:val="0"/>
          <w:sz w:val="24"/>
          <w:szCs w:val="32"/>
          <w:lang w:val="en-US" w:eastAsia="zh-CN"/>
        </w:rPr>
      </w:pPr>
      <w:r>
        <w:rPr>
          <w:rFonts w:hint="eastAsia"/>
          <w:b/>
          <w:bCs/>
          <w:i w:val="0"/>
          <w:iCs w:val="0"/>
          <w:sz w:val="24"/>
          <w:szCs w:val="32"/>
          <w:lang w:val="en-US" w:eastAsia="zh-CN"/>
        </w:rPr>
        <w:t>Key Features at CCMS2026</w:t>
      </w:r>
    </w:p>
    <w:p w14:paraId="372AEAEE">
      <w:pPr>
        <w:numPr>
          <w:ilvl w:val="0"/>
          <w:numId w:val="1"/>
        </w:numPr>
        <w:ind w:left="420" w:leftChars="0" w:hanging="420" w:firstLineChars="0"/>
        <w:rPr>
          <w:rFonts w:hint="eastAsia"/>
          <w:lang w:val="en-US" w:eastAsia="zh-CN"/>
        </w:rPr>
      </w:pPr>
      <w:r>
        <w:rPr>
          <w:rFonts w:hint="default"/>
          <w:b/>
          <w:bCs/>
          <w:lang w:val="en-US" w:eastAsia="zh-CN"/>
        </w:rPr>
        <w:t>FFMS2026 Strategic Summit</w:t>
      </w:r>
      <w:r>
        <w:rPr>
          <w:rFonts w:hint="default"/>
          <w:lang w:val="en-US" w:eastAsia="zh-CN"/>
        </w:rPr>
        <w:t>:</w:t>
      </w:r>
      <w:r>
        <w:rPr>
          <w:rFonts w:hint="eastAsia"/>
          <w:lang w:val="en-US" w:eastAsia="zh-CN"/>
        </w:rPr>
        <w:t xml:space="preserve"> Hear from over 200 world-class speakers—Ministers, CEOs, and industry leaders—sharing key insights with top stakeholders and decision-makers in hydrogen, SAF, and derivatives.</w:t>
      </w:r>
    </w:p>
    <w:p w14:paraId="75643E41">
      <w:pPr>
        <w:numPr>
          <w:ilvl w:val="0"/>
          <w:numId w:val="1"/>
        </w:numPr>
        <w:ind w:left="420" w:leftChars="0" w:hanging="420" w:firstLineChars="0"/>
        <w:rPr>
          <w:rFonts w:hint="eastAsia"/>
          <w:i w:val="0"/>
          <w:iCs w:val="0"/>
          <w:lang w:val="en-US" w:eastAsia="zh-CN"/>
        </w:rPr>
      </w:pPr>
      <w:r>
        <w:rPr>
          <w:rFonts w:hint="default"/>
          <w:b/>
          <w:bCs/>
          <w:lang w:val="en-US" w:eastAsia="zh-CN"/>
        </w:rPr>
        <w:t>Clean Innovations Live Exhibition &amp; Roadshow</w:t>
      </w:r>
      <w:r>
        <w:rPr>
          <w:rFonts w:hint="default"/>
          <w:lang w:val="en-US" w:eastAsia="zh-CN"/>
        </w:rPr>
        <w:t>:</w:t>
      </w:r>
      <w:r>
        <w:rPr>
          <w:rFonts w:hint="eastAsia"/>
          <w:lang w:val="en-US" w:eastAsia="zh-CN"/>
        </w:rPr>
        <w:t xml:space="preserve"> </w:t>
      </w:r>
      <w:r>
        <w:rPr>
          <w:rFonts w:hint="eastAsia"/>
          <w:i w:val="0"/>
          <w:iCs w:val="0"/>
          <w:lang w:val="en-US" w:eastAsia="zh-CN"/>
        </w:rPr>
        <w:t>With 100+ exhibitors and over 3,000 energy professionals, the exhibition served as a dynamic hub for innovation, knowledge exchange, and strategic collaboration.</w:t>
      </w:r>
    </w:p>
    <w:p w14:paraId="029ADB41">
      <w:pPr>
        <w:numPr>
          <w:ilvl w:val="0"/>
          <w:numId w:val="1"/>
        </w:numPr>
        <w:ind w:left="420" w:leftChars="0" w:hanging="420" w:firstLineChars="0"/>
        <w:rPr>
          <w:rFonts w:hint="eastAsia"/>
          <w:b w:val="0"/>
          <w:bCs w:val="0"/>
          <w:lang w:val="en-US" w:eastAsia="zh-CN"/>
        </w:rPr>
      </w:pPr>
      <w:r>
        <w:rPr>
          <w:b/>
          <w:bCs/>
          <w:lang w:val="en-US"/>
        </w:rPr>
        <w:t>Future Fuels Awards &amp; Gala Dinner</w:t>
      </w:r>
      <w:r>
        <w:rPr>
          <w:b w:val="0"/>
          <w:bCs w:val="0"/>
          <w:lang w:val="en-US"/>
        </w:rPr>
        <w:t>:</w:t>
      </w:r>
      <w:r>
        <w:rPr>
          <w:rFonts w:hint="eastAsia"/>
          <w:b w:val="0"/>
          <w:bCs w:val="0"/>
          <w:lang w:val="en-US" w:eastAsia="zh-CN"/>
        </w:rPr>
        <w:t xml:space="preserve"> From visionary investments to pioneering initiatives, the Future Fuels Awards 2026 highlight the transformative power of clean fuels in building a sustainable, prosperous world.</w:t>
      </w:r>
    </w:p>
    <w:p w14:paraId="4023497B">
      <w:pPr>
        <w:numPr>
          <w:ilvl w:val="0"/>
          <w:numId w:val="1"/>
        </w:numPr>
        <w:ind w:left="420" w:leftChars="0" w:hanging="420" w:firstLineChars="0"/>
        <w:rPr>
          <w:rFonts w:hint="eastAsia"/>
          <w:b w:val="0"/>
          <w:bCs w:val="0"/>
          <w:lang w:val="en-US" w:eastAsia="zh-CN"/>
        </w:rPr>
      </w:pPr>
      <w:r>
        <w:rPr>
          <w:rFonts w:hint="eastAsia"/>
          <w:b/>
          <w:bCs/>
          <w:lang w:val="en-US" w:eastAsia="zh-CN"/>
        </w:rPr>
        <w:t>Networking Programs &amp; Business M</w:t>
      </w:r>
      <w:bookmarkStart w:id="0" w:name="_GoBack"/>
      <w:bookmarkEnd w:id="0"/>
      <w:r>
        <w:rPr>
          <w:rFonts w:hint="eastAsia"/>
          <w:b/>
          <w:bCs/>
          <w:lang w:val="en-US" w:eastAsia="zh-CN"/>
        </w:rPr>
        <w:t>atchmaking:</w:t>
      </w:r>
      <w:r>
        <w:rPr>
          <w:rFonts w:hint="eastAsia"/>
          <w:b w:val="0"/>
          <w:bCs w:val="0"/>
          <w:lang w:val="en-US" w:eastAsia="zh-CN"/>
        </w:rPr>
        <w:t xml:space="preserve"> FFMS2026 targets key decision-makers in the clean fuels value chain, promoting sustainability in the MENA region and providing diverse networking opportunities for all participants.</w:t>
      </w:r>
    </w:p>
    <w:p w14:paraId="210EF6D1">
      <w:pPr>
        <w:numPr>
          <w:ilvl w:val="0"/>
          <w:numId w:val="1"/>
        </w:numPr>
        <w:ind w:left="420" w:leftChars="0" w:hanging="420" w:firstLineChars="0"/>
        <w:rPr>
          <w:rFonts w:hint="default"/>
          <w:b w:val="0"/>
          <w:bCs w:val="0"/>
          <w:lang w:val="en-US" w:eastAsia="zh-CN"/>
        </w:rPr>
      </w:pPr>
      <w:r>
        <w:rPr>
          <w:rFonts w:hint="default"/>
          <w:b/>
          <w:bCs/>
          <w:lang w:val="en-US" w:eastAsia="zh-CN"/>
        </w:rPr>
        <w:t>Co-located with Carbon Capture MENA Summit:</w:t>
      </w:r>
      <w:r>
        <w:rPr>
          <w:rFonts w:hint="eastAsia"/>
          <w:b w:val="0"/>
          <w:bCs w:val="0"/>
          <w:lang w:val="en-US" w:eastAsia="zh-CN"/>
        </w:rPr>
        <w:t xml:space="preserve"> The Carbon Capture MENA Summit 2026, MENA’s premier CCUS event, hosts over 300 industry leaders and 80+ key speakers, centering on effective CCUS policies, decarbonization, breakthrough innovations, carbon markets, and infrastructure.</w:t>
      </w:r>
    </w:p>
    <w:sectPr>
      <w:headerReference r:id="rId3" w:type="default"/>
      <w:pgSz w:w="11906" w:h="16838"/>
      <w:pgMar w:top="1440" w:right="1800" w:bottom="1440" w:left="1800" w:header="22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汇文明朝体"/>
    <w:panose1 w:val="00000000000000000000"/>
    <w:charset w:val="00"/>
    <w:family w:val="auto"/>
    <w:pitch w:val="default"/>
    <w:sig w:usb0="00000000" w:usb1="00000000" w:usb2="00000000" w:usb3="00000000" w:csb0="00000000" w:csb1="00000000"/>
  </w:font>
  <w:font w:name="汇文明朝体">
    <w:panose1 w:val="02000600000000000000"/>
    <w:charset w:val="80"/>
    <w:family w:val="auto"/>
    <w:pitch w:val="default"/>
    <w:sig w:usb0="800002D7" w:usb1="1A4F6C50" w:usb2="00000010" w:usb3="00000000" w:csb0="00020003"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88612">
    <w:pPr>
      <w:pStyle w:val="4"/>
      <w:jc w:val="center"/>
      <w:rPr>
        <w:rFonts w:hint="eastAsia" w:eastAsiaTheme="minorEastAsia"/>
        <w:lang w:eastAsia="zh-CN"/>
      </w:rPr>
    </w:pPr>
    <w:r>
      <w:rPr>
        <w:rFonts w:hint="eastAsia" w:eastAsiaTheme="minorEastAsia"/>
        <w:lang w:eastAsia="zh-CN"/>
      </w:rPr>
      <w:drawing>
        <wp:inline distT="0" distB="0" distL="114300" distR="114300">
          <wp:extent cx="2785745" cy="766445"/>
          <wp:effectExtent l="0" t="0" r="3175" b="10795"/>
          <wp:docPr id="1" name="图片 1" descr="FFMS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MS2026 Logo"/>
                  <pic:cNvPicPr>
                    <a:picLocks noChangeAspect="1"/>
                  </pic:cNvPicPr>
                </pic:nvPicPr>
                <pic:blipFill>
                  <a:blip r:embed="rId1"/>
                  <a:stretch>
                    <a:fillRect/>
                  </a:stretch>
                </pic:blipFill>
                <pic:spPr>
                  <a:xfrm>
                    <a:off x="0" y="0"/>
                    <a:ext cx="2785745" cy="7664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AB3B7"/>
    <w:multiLevelType w:val="singleLevel"/>
    <w:tmpl w:val="130AB3B7"/>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36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26E5" w:themeColor="hyperlink"/>
      <w:u w:val="single"/>
      <w14:textFill>
        <w14:solidFill>
          <w14:schemeClr w14:val="hlink"/>
        </w14:solidFill>
      </w14:textFill>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2025-10-24T07:02:02Z</dcterms:created>
  <dc:creator>User</dc:creator>
  <cp:lastModifiedBy>WPS_1695264998</cp:lastModifiedBy>
  <dcterms:modified xsi:type="dcterms:W3CDTF">2025-10-24T07:18:16Z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eyJoZGlkIjoiYmQ3NjQxYmZmN2ZkODIxYWNiNTEzMzQyMTZmNzQ1MmMiLCJ1c2VySWQiOiIxNTQzMzAwOTQ3In0=</vt:lpwstr>
  </property>
  <property fmtid="{D5CDD505-2E9C-101B-9397-08002B2CF9AE}" pid="4" name="ICV">
    <vt:lpwstr>1AF2EEA089E146928B64413BFD37C6F6_12</vt:lpwstr>
  </property>
</Properties>
</file>